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Arial Narrow" w:hAnsi="Arial Narrow" w:eastAsia="宋体"/>
          <w:b/>
          <w:sz w:val="32"/>
        </w:rPr>
      </w:pPr>
      <w:r>
        <w:rPr>
          <w:rFonts w:hint="eastAsia" w:ascii="Arial Narrow" w:hAnsi="Arial Narrow" w:eastAsia="宋体"/>
          <w:b/>
          <w:sz w:val="32"/>
        </w:rPr>
        <w:t>对下一轮普通高等学校本科教学评估两个问题的探讨</w:t>
      </w:r>
    </w:p>
    <w:tbl>
      <w:tblPr>
        <w:tblStyle w:val="3"/>
        <w:tblpPr w:leftFromText="180" w:rightFromText="180" w:vertAnchor="page" w:horzAnchor="page" w:tblpX="1525" w:tblpY="2322"/>
        <w:tblOverlap w:val="never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408"/>
        <w:gridCol w:w="2695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2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ascii="Arial Narrow" w:hAnsi="Arial Narrow" w:eastAsia="楷体"/>
                <w:szCs w:val="21"/>
              </w:rPr>
              <w:drawing>
                <wp:inline distT="0" distB="0" distL="0" distR="0">
                  <wp:extent cx="759460" cy="1083945"/>
                  <wp:effectExtent l="0" t="0" r="2540" b="19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064" cy="109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hint="eastAsia" w:ascii="Arial Narrow" w:hAnsi="Arial Narrow" w:eastAsia="楷体"/>
                <w:sz w:val="28"/>
                <w:szCs w:val="24"/>
              </w:rPr>
              <w:t>李志义*</w:t>
            </w:r>
          </w:p>
        </w:tc>
        <w:tc>
          <w:tcPr>
            <w:tcW w:w="18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ascii="Arial Narrow" w:hAnsi="Arial Narrow" w:eastAsia="楷体"/>
                <w:szCs w:val="21"/>
              </w:rPr>
              <w:drawing>
                <wp:inline distT="0" distB="0" distL="0" distR="0">
                  <wp:extent cx="899795" cy="899795"/>
                  <wp:effectExtent l="0" t="0" r="14605" b="146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Arial Narrow" w:hAnsi="Arial Narrow" w:eastAsia="楷体"/>
                <w:szCs w:val="21"/>
              </w:rPr>
              <w:t>扫码下载论文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2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  <w:tc>
          <w:tcPr>
            <w:tcW w:w="5103" w:type="dxa"/>
            <w:gridSpan w:val="2"/>
            <w:vAlign w:val="center"/>
          </w:tcPr>
          <w:p>
            <w:pPr>
              <w:adjustRightInd w:val="0"/>
              <w:snapToGrid w:val="0"/>
              <w:spacing w:after="156" w:afterLines="50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hint="eastAsia" w:ascii="Arial Narrow" w:hAnsi="Arial Narrow" w:eastAsia="楷体"/>
                <w:sz w:val="24"/>
                <w:szCs w:val="24"/>
              </w:rPr>
              <w:t>*教授，国家督学，沈阳化工大学原校长，大连理工大学原副校长，中国机械工程学会专业认证专家委员会主任委员</w:t>
            </w:r>
          </w:p>
          <w:p>
            <w:pPr>
              <w:adjustRightInd w:val="0"/>
              <w:snapToGrid w:val="0"/>
              <w:rPr>
                <w:rFonts w:ascii="Arial Narrow" w:hAnsi="Arial Narrow" w:eastAsia="楷体"/>
                <w:sz w:val="24"/>
                <w:szCs w:val="24"/>
              </w:rPr>
            </w:pPr>
            <w:r>
              <w:rPr>
                <w:rFonts w:ascii="Arial Narrow" w:hAnsi="Arial Narrow" w:eastAsia="楷体"/>
                <w:sz w:val="24"/>
                <w:szCs w:val="24"/>
              </w:rPr>
              <w:t>E-mail: lizy@dlut.edu.cn</w:t>
            </w:r>
          </w:p>
        </w:tc>
        <w:tc>
          <w:tcPr>
            <w:tcW w:w="18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9060" w:type="dxa"/>
            <w:gridSpan w:val="4"/>
            <w:vAlign w:val="center"/>
          </w:tcPr>
          <w:p>
            <w:pPr>
              <w:adjustRightInd w:val="0"/>
              <w:snapToGrid w:val="0"/>
              <w:spacing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我国于</w:t>
            </w:r>
            <w:r>
              <w:rPr>
                <w:rFonts w:ascii="Times New Roman" w:hAnsi="Times New Roman" w:eastAsia="宋体"/>
                <w:sz w:val="24"/>
                <w:szCs w:val="24"/>
              </w:rPr>
              <w:t xml:space="preserve">2003年至2008年，成功地开展了一轮普通高等学校本科教学工作水平评估，极大地强化了高等学校教学工作，有力地促进了教学质量的提高，对建立中国特色的高等教育质量保证体系积累了宝贵经验。这一轮评估成效显著，意义重大。目前，教育部正在组织力量，研究制定下一轮评估方案。 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下一轮评估的一个基本问题就是如何命名，“本科教学评估”和“本科人才培养评估”是目前较受推崇的命名方式。这些名称的关键区别在于主题词是“教学”还是“人才培养”。我们认为“本科教学评估”更为合理，原因有二：一是“教学评估”已是一个国际通用名词，采用“教学评估”便于国际交流与认可；二是“教学评估”与上一轮评估有继承，为人们所习惯，采用“教学评估”有利于评估“品牌”建设，形成评估文化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就“教学评估”的国际通用性和国内习惯性，我们做了文献调查。检索国外含有人文社科类的大型文献数据库的结果表明，“教学评估”的词条很通用，但“人才培养评估”的词条寥寥无几。例如对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Journal of storage（JSTOR，人文、社科、经管、数理化、环境生态过刊全文数据库）和Gale-Info Trac Custom（GITC，人文、社科、科技期刊全文数据库）分别以Teaching Evaluation和Cultivation Evaluation（包括其他同义词及其不同组合）为词条的检索结果如表1。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事实上，“高等教育”、“人才培养”和“教学”这三个概念在高等教育领域是有明确界定的。“高等教育”是“人才培养”的上位概念，“人才培养”是“教学”的上位概念。按现代教育理论与实践，高等教育具有三大功能，即人才培养、科学研究与社会服务。“人才培养”包括了“育人”（狭义上指德育）和“育才”（狭义上指智育）两方面，其中“育才”主要通过“教学”来实现。实际上，上述的“教学评估”，其含义与“人才培养评估”基本相近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exact"/>
              <w:ind w:firstLine="480" w:firstLineChars="2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采用什么样的评估方式是下一轮评估规划的另一个要点。我国目前高校初步建立了人才培养质量保证体系，但它还很不完善。在下一轮评估的推动下，我们期望建立一个具有完善功能的、具备“闭环”特征的质量保证体系，即通过监督功能发现偏差，通过调控功能纠正这些偏差，再通过改进功能分析产生这些偏差的原因，并对系统进行改进。也就是说，这三个功能是首尾搭接，互为输入和输出的关系（图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1）。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建立一个覆盖全面、功能齐全、完善有效的人才培养质量保证体系不是一蹴而就的事，我国高校管理目前尚未达到这一水平。对人才培养质量保证体系进行评估，有如按照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ISO9000进行质量管理体系认证，需要如下环节：首先要制定人才培养质量保证模式，学校根据质量保证模式要求建立质量保证体系，学校对所建立的质量保证体系进行完整实施并评估其有效性，在此基础上才能对质量保证体系进行外部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45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hint="eastAsia" w:ascii="Times New Roman" w:hAnsi="Times New Roman" w:eastAsia="楷体"/>
                <w:szCs w:val="24"/>
              </w:rPr>
              <w:t>表1</w:t>
            </w:r>
            <w:r>
              <w:rPr>
                <w:rFonts w:ascii="Times New Roman" w:hAnsi="Times New Roman" w:eastAsia="楷体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楷体"/>
                <w:szCs w:val="24"/>
              </w:rPr>
              <w:t>国外文献对“教学评估”术语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楷体"/>
                <w:szCs w:val="24"/>
              </w:rPr>
            </w:pPr>
            <w:r>
              <w:rPr>
                <w:rFonts w:hint="eastAsia" w:ascii="Times New Roman" w:hAnsi="Times New Roman" w:eastAsia="楷体"/>
                <w:szCs w:val="24"/>
              </w:rPr>
              <w:t>及“人才培养评估”使用情况</w:t>
            </w:r>
          </w:p>
          <w:tbl>
            <w:tblPr>
              <w:tblStyle w:val="2"/>
              <w:tblW w:w="4565" w:type="dxa"/>
              <w:tblInd w:w="0" w:type="dxa"/>
              <w:tblBorders>
                <w:top w:val="single" w:color="auto" w:sz="4" w:space="0"/>
                <w:left w:val="none" w:color="auto" w:sz="0" w:space="0"/>
                <w:bottom w:val="sing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1"/>
              <w:gridCol w:w="1703"/>
              <w:gridCol w:w="1701"/>
            </w:tblGrid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1161" w:type="dxa"/>
                  <w:vMerge w:val="restart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hint="eastAsia" w:ascii="Times New Roman" w:hAnsi="Times New Roman" w:eastAsia="黑体"/>
                      <w:szCs w:val="21"/>
                    </w:rPr>
                    <w:t>检索词组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hint="eastAsia" w:ascii="Times New Roman" w:hAnsi="Times New Roman" w:eastAsia="黑体"/>
                      <w:szCs w:val="21"/>
                    </w:rPr>
                    <w:t>检索结果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0" w:hRule="atLeast"/>
              </w:trPr>
              <w:tc>
                <w:tcPr>
                  <w:tcW w:w="1161" w:type="dxa"/>
                  <w:vMerge w:val="continue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szCs w:val="21"/>
                    </w:rPr>
                  </w:pP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JSTOR</w:t>
                  </w:r>
                  <w:r>
                    <w:rPr>
                      <w:rFonts w:hint="eastAsia" w:ascii="Times New Roman" w:hAnsi="Times New Roman" w:eastAsia="黑体"/>
                      <w:szCs w:val="21"/>
                    </w:rPr>
                    <w:t>数据库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GITC</w:t>
                  </w:r>
                  <w:r>
                    <w:rPr>
                      <w:rFonts w:hint="eastAsia" w:ascii="Times New Roman" w:hAnsi="Times New Roman" w:eastAsia="黑体"/>
                      <w:szCs w:val="21"/>
                    </w:rPr>
                    <w:t>数据库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5" w:hRule="atLeast"/>
              </w:trPr>
              <w:tc>
                <w:tcPr>
                  <w:tcW w:w="116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Teaching Evaluation</w:t>
                  </w: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395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673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none" w:color="auto" w:sz="0" w:space="0"/>
                  <w:bottom w:val="sing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7" w:hRule="atLeast"/>
              </w:trPr>
              <w:tc>
                <w:tcPr>
                  <w:tcW w:w="1161" w:type="dxa"/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Cultivation Evaluation</w:t>
                  </w:r>
                </w:p>
              </w:tc>
              <w:tc>
                <w:tcPr>
                  <w:tcW w:w="1703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 w:eastAsia="黑体"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szCs w:val="21"/>
                    </w:rPr>
                    <w:t>0</w:t>
                  </w:r>
                </w:p>
              </w:tc>
            </w:tr>
          </w:tbl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ascii="Times New Roman" w:hAnsi="Times New Roman" w:eastAsia="楷体"/>
                <w:szCs w:val="24"/>
              </w:rPr>
              <w:drawing>
                <wp:inline distT="0" distB="0" distL="0" distR="0">
                  <wp:extent cx="1738630" cy="1638300"/>
                  <wp:effectExtent l="0" t="0" r="1397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944" cy="1647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53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45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4"/>
              </w:rPr>
              <w:t>图1</w:t>
            </w:r>
            <w:r>
              <w:rPr>
                <w:rFonts w:ascii="Times New Roman" w:hAnsi="Times New Roman" w:eastAsia="楷体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楷体"/>
                <w:szCs w:val="24"/>
              </w:rPr>
              <w:t>形成闭环的质量保证体系</w:t>
            </w:r>
          </w:p>
        </w:tc>
      </w:tr>
    </w:tbl>
    <w:p>
      <w:pPr>
        <w:jc w:val="center"/>
        <w:rPr>
          <w:rFonts w:hint="eastAsia" w:ascii="Arial Narrow" w:hAnsi="Arial Narrow" w:eastAsia="宋体"/>
          <w:b/>
          <w:sz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3886"/>
    <w:rsid w:val="4ED93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2019-03-29T02:43:00Z</dcterms:created>
  <dc:creator>沈凤娟</dc:creator>
  <cp:lastModifiedBy>沈凤娟</cp:lastModifiedBy>
  <dcterms:modified xsi:type="dcterms:W3CDTF">2019-03-29T02:45:15Z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